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839" w:rsidRPr="00935839" w:rsidRDefault="00935839" w:rsidP="00935839">
      <w:pPr>
        <w:spacing w:after="100" w:afterAutospacing="1" w:line="240" w:lineRule="auto"/>
        <w:jc w:val="center"/>
        <w:rPr>
          <w:rFonts w:ascii="Arial" w:eastAsia="Times New Roman" w:hAnsi="Arial" w:cs="Arial"/>
          <w:sz w:val="24"/>
          <w:szCs w:val="24"/>
        </w:rPr>
      </w:pPr>
      <w:r w:rsidRPr="00935839">
        <w:rPr>
          <w:rFonts w:ascii="Arial" w:eastAsia="Times New Roman" w:hAnsi="Arial" w:cs="Arial"/>
          <w:b/>
          <w:bCs/>
          <w:sz w:val="20"/>
          <w:szCs w:val="20"/>
        </w:rPr>
        <w:t>PHỤ LỤC</w:t>
      </w:r>
    </w:p>
    <w:p w:rsidR="00935839" w:rsidRPr="00935839" w:rsidRDefault="00935839" w:rsidP="00935839">
      <w:pPr>
        <w:spacing w:after="100" w:afterAutospacing="1" w:line="240" w:lineRule="auto"/>
        <w:jc w:val="center"/>
        <w:rPr>
          <w:rFonts w:ascii="Arial" w:eastAsia="Times New Roman" w:hAnsi="Arial" w:cs="Arial"/>
          <w:sz w:val="24"/>
          <w:szCs w:val="24"/>
          <w:lang w:val="vi-VN"/>
        </w:rPr>
      </w:pPr>
      <w:r w:rsidRPr="00935839">
        <w:rPr>
          <w:rFonts w:ascii="Arial" w:eastAsia="Times New Roman" w:hAnsi="Arial" w:cs="Arial"/>
          <w:sz w:val="20"/>
          <w:szCs w:val="20"/>
        </w:rPr>
        <w:t>DANH MỤC SẢN PHẨM, HÀNG HÓA CÓ KHẢ NĂNG GÂY MẤT AN TOÀN THUỘC TRÁCH NHIỆM QUẢN LÝ CỦA BỘ CÔNG THƯƠNG</w:t>
      </w:r>
      <w:bookmarkStart w:id="0" w:name="_GoBack"/>
      <w:bookmarkEnd w:id="0"/>
    </w:p>
    <w:tbl>
      <w:tblPr>
        <w:tblW w:w="5000" w:type="pct"/>
        <w:tblCellMar>
          <w:left w:w="0" w:type="dxa"/>
          <w:right w:w="0" w:type="dxa"/>
        </w:tblCellMar>
        <w:tblLook w:val="04A0" w:firstRow="1" w:lastRow="0" w:firstColumn="1" w:lastColumn="0" w:noHBand="0" w:noVBand="1"/>
      </w:tblPr>
      <w:tblGrid>
        <w:gridCol w:w="592"/>
        <w:gridCol w:w="1699"/>
        <w:gridCol w:w="1336"/>
        <w:gridCol w:w="2308"/>
        <w:gridCol w:w="1277"/>
        <w:gridCol w:w="1947"/>
        <w:gridCol w:w="77"/>
        <w:gridCol w:w="67"/>
        <w:gridCol w:w="67"/>
      </w:tblGrid>
      <w:tr w:rsidR="00935839" w:rsidRPr="00935839" w:rsidTr="00935839">
        <w:tc>
          <w:tcPr>
            <w:tcW w:w="720" w:type="dxa"/>
            <w:tcBorders>
              <w:top w:val="single" w:sz="8" w:space="0" w:color="auto"/>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color w:val="222222"/>
                <w:sz w:val="20"/>
                <w:szCs w:val="20"/>
              </w:rPr>
              <w:t>STT</w:t>
            </w:r>
          </w:p>
        </w:tc>
        <w:tc>
          <w:tcPr>
            <w:tcW w:w="2420" w:type="dxa"/>
            <w:tcBorders>
              <w:top w:val="single" w:sz="8" w:space="0" w:color="auto"/>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color w:val="222222"/>
                <w:sz w:val="20"/>
                <w:szCs w:val="20"/>
              </w:rPr>
              <w:t>Tên sản phẩm, hàng hóa Thông tư số 65</w:t>
            </w:r>
            <w:r w:rsidRPr="00935839">
              <w:rPr>
                <w:rFonts w:ascii="Arial" w:eastAsia="Times New Roman" w:hAnsi="Arial" w:cs="Arial"/>
                <w:color w:val="222222"/>
                <w:sz w:val="20"/>
                <w:szCs w:val="20"/>
                <w:vertAlign w:val="superscript"/>
              </w:rPr>
              <w:t>(i)</w:t>
            </w:r>
          </w:p>
        </w:tc>
        <w:tc>
          <w:tcPr>
            <w:tcW w:w="1560" w:type="dxa"/>
            <w:tcBorders>
              <w:top w:val="single" w:sz="8" w:space="0" w:color="auto"/>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color w:val="222222"/>
                <w:sz w:val="20"/>
                <w:szCs w:val="20"/>
              </w:rPr>
              <w:t>Mã số HS theo Thông tư số 65</w:t>
            </w:r>
          </w:p>
        </w:tc>
        <w:tc>
          <w:tcPr>
            <w:tcW w:w="3160" w:type="dxa"/>
            <w:tcBorders>
              <w:top w:val="single" w:sz="8" w:space="0" w:color="auto"/>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color w:val="222222"/>
                <w:sz w:val="20"/>
                <w:szCs w:val="20"/>
              </w:rPr>
              <w:t>Sản phẩm cụ thể theo Thông tư số 29</w:t>
            </w:r>
            <w:r w:rsidRPr="00935839">
              <w:rPr>
                <w:rFonts w:ascii="Arial" w:eastAsia="Times New Roman" w:hAnsi="Arial" w:cs="Arial"/>
                <w:color w:val="222222"/>
                <w:sz w:val="20"/>
                <w:szCs w:val="20"/>
                <w:vertAlign w:val="superscript"/>
              </w:rPr>
              <w:t>(ii)</w:t>
            </w:r>
          </w:p>
        </w:tc>
        <w:tc>
          <w:tcPr>
            <w:tcW w:w="1460" w:type="dxa"/>
            <w:tcBorders>
              <w:top w:val="single" w:sz="8" w:space="0" w:color="auto"/>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color w:val="222222"/>
                <w:sz w:val="20"/>
                <w:szCs w:val="20"/>
              </w:rPr>
              <w:t>Mã số HS theo Thông tư số 29</w:t>
            </w:r>
          </w:p>
        </w:tc>
        <w:tc>
          <w:tcPr>
            <w:tcW w:w="2480" w:type="dxa"/>
            <w:tcBorders>
              <w:top w:val="single" w:sz="8" w:space="0" w:color="auto"/>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color w:val="222222"/>
                <w:sz w:val="20"/>
                <w:szCs w:val="20"/>
              </w:rPr>
              <w:t>Ghi chú</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i/>
                <w:iCs/>
                <w:color w:val="222222"/>
                <w:sz w:val="20"/>
                <w:szCs w:val="20"/>
              </w:rPr>
              <w:t>(1)</w:t>
            </w:r>
          </w:p>
        </w:tc>
        <w:tc>
          <w:tcPr>
            <w:tcW w:w="242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i/>
                <w:iCs/>
                <w:color w:val="222222"/>
                <w:sz w:val="20"/>
                <w:szCs w:val="20"/>
              </w:rPr>
              <w:t>(2)</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i/>
                <w:iCs/>
                <w:color w:val="222222"/>
                <w:sz w:val="20"/>
                <w:szCs w:val="20"/>
              </w:rPr>
              <w:t>(3)</w:t>
            </w:r>
          </w:p>
        </w:tc>
        <w:tc>
          <w:tcPr>
            <w:tcW w:w="31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i/>
                <w:iCs/>
                <w:color w:val="222222"/>
                <w:sz w:val="20"/>
                <w:szCs w:val="20"/>
              </w:rPr>
              <w:t>(4)</w:t>
            </w: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i/>
                <w:iCs/>
                <w:color w:val="222222"/>
                <w:sz w:val="20"/>
                <w:szCs w:val="20"/>
              </w:rPr>
              <w:t>(5)</w:t>
            </w: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i/>
                <w:iCs/>
                <w:color w:val="222222"/>
                <w:sz w:val="20"/>
                <w:szCs w:val="20"/>
              </w:rPr>
              <w:t>(6)</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color w:val="222222"/>
                <w:sz w:val="20"/>
                <w:szCs w:val="20"/>
              </w:rPr>
              <w:t>A</w:t>
            </w:r>
          </w:p>
        </w:tc>
        <w:tc>
          <w:tcPr>
            <w:tcW w:w="11080" w:type="dxa"/>
            <w:gridSpan w:val="5"/>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b/>
                <w:bCs/>
                <w:color w:val="222222"/>
                <w:sz w:val="20"/>
                <w:szCs w:val="20"/>
              </w:rPr>
              <w:t>Các sản phẩm kiểm tra trước khi thông quan</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color w:val="222222"/>
                <w:sz w:val="20"/>
                <w:szCs w:val="20"/>
              </w:rPr>
              <w:t>I</w:t>
            </w:r>
          </w:p>
        </w:tc>
        <w:tc>
          <w:tcPr>
            <w:tcW w:w="11080" w:type="dxa"/>
            <w:gridSpan w:val="5"/>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b/>
                <w:bCs/>
                <w:color w:val="222222"/>
                <w:sz w:val="20"/>
                <w:szCs w:val="20"/>
              </w:rPr>
              <w:t>Hóa chất, vật liệu nổ công nghiệp</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1</w:t>
            </w:r>
          </w:p>
        </w:tc>
        <w:tc>
          <w:tcPr>
            <w:tcW w:w="11080" w:type="dxa"/>
            <w:gridSpan w:val="5"/>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Tiền chất thuốc nổ </w:t>
            </w:r>
            <w:r w:rsidRPr="00935839">
              <w:rPr>
                <w:rFonts w:ascii="Arial" w:eastAsia="Times New Roman" w:hAnsi="Arial" w:cs="Arial"/>
                <w:color w:val="222222"/>
                <w:sz w:val="20"/>
                <w:szCs w:val="20"/>
              </w:rPr>
              <w:t>(Các hỗn hợp chất có hàm lượng tiền chất thuốc nổ lớn hơn 45%) theo Nghị định số 39/2009/NĐ-CP</w:t>
            </w:r>
            <w:r w:rsidRPr="00935839">
              <w:rPr>
                <w:rFonts w:ascii="Arial" w:eastAsia="Times New Roman" w:hAnsi="Arial" w:cs="Arial"/>
                <w:color w:val="222222"/>
                <w:sz w:val="20"/>
                <w:szCs w:val="20"/>
                <w:vertAlign w:val="superscript"/>
              </w:rPr>
              <w:t>(iii)</w:t>
            </w:r>
            <w:r w:rsidRPr="00935839">
              <w:rPr>
                <w:rFonts w:ascii="Arial" w:eastAsia="Times New Roman" w:hAnsi="Arial" w:cs="Arial"/>
                <w:color w:val="222222"/>
                <w:sz w:val="20"/>
                <w:szCs w:val="20"/>
              </w:rPr>
              <w:t>.</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vMerge w:val="restart"/>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1.1</w:t>
            </w:r>
          </w:p>
        </w:tc>
        <w:tc>
          <w:tcPr>
            <w:tcW w:w="242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Amoni nitrat, có hoặc không ở trong dung dịch nước</w:t>
            </w:r>
          </w:p>
        </w:tc>
        <w:tc>
          <w:tcPr>
            <w:tcW w:w="15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3102.30.00</w:t>
            </w:r>
          </w:p>
        </w:tc>
        <w:tc>
          <w:tcPr>
            <w:tcW w:w="31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Amoni nitrat (NH</w:t>
            </w:r>
            <w:r w:rsidRPr="00935839">
              <w:rPr>
                <w:rFonts w:ascii="Arial" w:eastAsia="Times New Roman" w:hAnsi="Arial" w:cs="Arial"/>
                <w:color w:val="222222"/>
                <w:sz w:val="20"/>
                <w:szCs w:val="20"/>
                <w:vertAlign w:val="subscript"/>
              </w:rPr>
              <w:t>4</w:t>
            </w:r>
            <w:r w:rsidRPr="00935839">
              <w:rPr>
                <w:rFonts w:ascii="Arial" w:eastAsia="Times New Roman" w:hAnsi="Arial" w:cs="Arial"/>
                <w:color w:val="222222"/>
                <w:sz w:val="20"/>
                <w:szCs w:val="20"/>
              </w:rPr>
              <w:t>NO</w:t>
            </w:r>
            <w:r w:rsidRPr="00935839">
              <w:rPr>
                <w:rFonts w:ascii="Arial" w:eastAsia="Times New Roman" w:hAnsi="Arial" w:cs="Arial"/>
                <w:color w:val="222222"/>
                <w:sz w:val="20"/>
                <w:szCs w:val="20"/>
                <w:vertAlign w:val="subscript"/>
              </w:rPr>
              <w:t>3</w:t>
            </w:r>
            <w:r w:rsidRPr="00935839">
              <w:rPr>
                <w:rFonts w:ascii="Arial" w:eastAsia="Times New Roman" w:hAnsi="Arial" w:cs="Arial"/>
                <w:color w:val="222222"/>
                <w:sz w:val="20"/>
                <w:szCs w:val="20"/>
              </w:rPr>
              <w:t>) dạng tinh thể dùng để sản xuất thuốc nổ nhũ tương</w:t>
            </w:r>
          </w:p>
        </w:tc>
        <w:tc>
          <w:tcPr>
            <w:tcW w:w="14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3102.30.00</w:t>
            </w: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31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Amoni nitrat (NH</w:t>
            </w:r>
            <w:r w:rsidRPr="00935839">
              <w:rPr>
                <w:rFonts w:ascii="Arial" w:eastAsia="Times New Roman" w:hAnsi="Arial" w:cs="Arial"/>
                <w:color w:val="222222"/>
                <w:sz w:val="20"/>
                <w:szCs w:val="20"/>
                <w:vertAlign w:val="subscript"/>
              </w:rPr>
              <w:t>4</w:t>
            </w:r>
            <w:r w:rsidRPr="00935839">
              <w:rPr>
                <w:rFonts w:ascii="Arial" w:eastAsia="Times New Roman" w:hAnsi="Arial" w:cs="Arial"/>
                <w:color w:val="222222"/>
                <w:sz w:val="20"/>
                <w:szCs w:val="20"/>
              </w:rPr>
              <w:t>NO</w:t>
            </w:r>
            <w:r w:rsidRPr="00935839">
              <w:rPr>
                <w:rFonts w:ascii="Arial" w:eastAsia="Times New Roman" w:hAnsi="Arial" w:cs="Arial"/>
                <w:color w:val="222222"/>
                <w:sz w:val="20"/>
                <w:szCs w:val="20"/>
                <w:vertAlign w:val="subscript"/>
              </w:rPr>
              <w:t>3</w:t>
            </w:r>
            <w:r w:rsidRPr="00935839">
              <w:rPr>
                <w:rFonts w:ascii="Arial" w:eastAsia="Times New Roman" w:hAnsi="Arial" w:cs="Arial"/>
                <w:color w:val="222222"/>
                <w:sz w:val="20"/>
                <w:szCs w:val="20"/>
              </w:rPr>
              <w:t>) dạng hạt xốp dùng để sản xuất thuốc nổ ANFO</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color w:val="222222"/>
                <w:sz w:val="20"/>
                <w:szCs w:val="20"/>
              </w:rPr>
              <w:t>B</w:t>
            </w:r>
          </w:p>
        </w:tc>
        <w:tc>
          <w:tcPr>
            <w:tcW w:w="8600" w:type="dxa"/>
            <w:gridSpan w:val="4"/>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b/>
                <w:bCs/>
                <w:color w:val="222222"/>
                <w:sz w:val="20"/>
                <w:szCs w:val="20"/>
              </w:rPr>
              <w:t>Các sản phẩm, hàng hóa kiểm tra sau thông quan</w:t>
            </w: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2</w:t>
            </w:r>
          </w:p>
        </w:tc>
        <w:tc>
          <w:tcPr>
            <w:tcW w:w="8600" w:type="dxa"/>
            <w:gridSpan w:val="4"/>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Vật liệu nổ công nghiệp </w:t>
            </w:r>
            <w:r w:rsidRPr="00935839">
              <w:rPr>
                <w:rFonts w:ascii="Arial" w:eastAsia="Times New Roman" w:hAnsi="Arial" w:cs="Arial"/>
                <w:color w:val="222222"/>
                <w:sz w:val="20"/>
                <w:szCs w:val="20"/>
              </w:rPr>
              <w:t>thực hiện theo Nghị định số 39/2009/NĐ-CP</w:t>
            </w: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vMerge w:val="restart"/>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2.1</w:t>
            </w:r>
          </w:p>
        </w:tc>
        <w:tc>
          <w:tcPr>
            <w:tcW w:w="242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Thuốc nổ đã điều chế, trừ bột nổ đẩy</w:t>
            </w:r>
          </w:p>
        </w:tc>
        <w:tc>
          <w:tcPr>
            <w:tcW w:w="15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3602.00.00</w:t>
            </w:r>
          </w:p>
        </w:tc>
        <w:tc>
          <w:tcPr>
            <w:tcW w:w="31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Thuốc nổ nhũ tương dùng cho mỏ hầm lò, công trình ngầm không có khí và bụi nổ</w:t>
            </w:r>
          </w:p>
        </w:tc>
        <w:tc>
          <w:tcPr>
            <w:tcW w:w="14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3602.00.00</w:t>
            </w: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31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Thuốc nổ amonit AD1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31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Thuốc nổ loại khác (Theo danh mục tại Mục I - Phụ lục 1 ban hành kèm theo Thông tư số 45/2013/TT-BCT)</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vMerge w:val="restart"/>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2.2</w:t>
            </w:r>
          </w:p>
        </w:tc>
        <w:tc>
          <w:tcPr>
            <w:tcW w:w="242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Dây cháy chậm bán thành phẩm; kíp nổ cơ bản;</w:t>
            </w:r>
          </w:p>
        </w:tc>
        <w:tc>
          <w:tcPr>
            <w:tcW w:w="15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3603.00.10</w:t>
            </w:r>
          </w:p>
        </w:tc>
        <w:tc>
          <w:tcPr>
            <w:tcW w:w="31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Các loại kíp nổ điện dùng trong công nghiệp</w:t>
            </w:r>
          </w:p>
        </w:tc>
        <w:tc>
          <w:tcPr>
            <w:tcW w:w="14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3603.00.10</w:t>
            </w: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31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Kíp nổ đốt số 8 dùng trong công nghiệp</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2.3</w:t>
            </w:r>
          </w:p>
        </w:tc>
        <w:tc>
          <w:tcPr>
            <w:tcW w:w="242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Dây cháy chậm</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3603.00.20</w:t>
            </w:r>
          </w:p>
        </w:tc>
        <w:tc>
          <w:tcPr>
            <w:tcW w:w="31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Dây cháy chậm công nghiệp</w:t>
            </w: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3603.00.20</w:t>
            </w: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vMerge w:val="restart"/>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2.4</w:t>
            </w:r>
          </w:p>
        </w:tc>
        <w:tc>
          <w:tcPr>
            <w:tcW w:w="242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Loại khác</w:t>
            </w:r>
          </w:p>
        </w:tc>
        <w:tc>
          <w:tcPr>
            <w:tcW w:w="15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3603.00.90</w:t>
            </w:r>
          </w:p>
        </w:tc>
        <w:tc>
          <w:tcPr>
            <w:tcW w:w="31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Dây nổ chịu nước dùng trong công nghiệp</w:t>
            </w:r>
          </w:p>
        </w:tc>
        <w:tc>
          <w:tcPr>
            <w:tcW w:w="14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3603.00.90</w:t>
            </w: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31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Mồi nổ dùng cho thuốc nổ công nghiệp</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color w:val="222222"/>
                <w:sz w:val="20"/>
                <w:szCs w:val="20"/>
              </w:rPr>
              <w:t>II</w:t>
            </w:r>
          </w:p>
        </w:tc>
        <w:tc>
          <w:tcPr>
            <w:tcW w:w="8600" w:type="dxa"/>
            <w:gridSpan w:val="4"/>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b/>
                <w:bCs/>
                <w:color w:val="222222"/>
                <w:sz w:val="20"/>
                <w:szCs w:val="20"/>
              </w:rPr>
              <w:t>Máy, thiết bị đặc thù công nghiệp</w:t>
            </w: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1</w:t>
            </w:r>
          </w:p>
        </w:tc>
        <w:tc>
          <w:tcPr>
            <w:tcW w:w="242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Ống dẫn chịu áp lực cao có khả năng chịu áp lực không nhỏ hơn 42.000 psi</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7304.39.20</w:t>
            </w:r>
          </w:p>
        </w:tc>
        <w:tc>
          <w:tcPr>
            <w:tcW w:w="31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Đường ống dẫn hơi và nước nóng cấp I, II có đường kính ngoài từ 51 mm trở lên; các đường ống dẫn cấp III, IV có đường kính ngoài từ 76 mm trở lên sử dụng trong công nghiệp</w:t>
            </w: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7304.39.20</w:t>
            </w: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rPr>
          <w:trHeight w:val="870"/>
        </w:trPr>
        <w:tc>
          <w:tcPr>
            <w:tcW w:w="720" w:type="dxa"/>
            <w:vMerge w:val="restart"/>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i/>
                <w:iCs/>
                <w:color w:val="222222"/>
                <w:sz w:val="20"/>
                <w:szCs w:val="20"/>
              </w:rPr>
              <w:lastRenderedPageBreak/>
              <w:t>2</w:t>
            </w:r>
          </w:p>
        </w:tc>
        <w:tc>
          <w:tcPr>
            <w:tcW w:w="242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Thiết bị dùng cho giàn giáo, ván khuôn, vật chống hoặc cột trụ chống hầm lò</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7308.40.10</w:t>
            </w:r>
          </w:p>
        </w:tc>
        <w:tc>
          <w:tcPr>
            <w:tcW w:w="31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Cột chống thủy lực đơn, Giá khung di động và dàn chống tự hành cấu tạo từ các cột chống thủy lực đơn sử dụng trong việc chống giữ lò trong khai thác hầm lò</w:t>
            </w: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7308.40.10</w:t>
            </w:r>
          </w:p>
        </w:tc>
        <w:tc>
          <w:tcPr>
            <w:tcW w:w="248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rPr>
          <w:trHeight w:val="870"/>
        </w:trPr>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7308.40.90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7308.40.90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rPr>
          <w:trHeight w:val="495"/>
        </w:trPr>
        <w:tc>
          <w:tcPr>
            <w:tcW w:w="720" w:type="dxa"/>
            <w:vMerge w:val="restart"/>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3</w:t>
            </w:r>
          </w:p>
        </w:tc>
        <w:tc>
          <w:tcPr>
            <w:tcW w:w="242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Các loại bình chứa dùng để chứa mọi loại vật liệu</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7309.00.11</w:t>
            </w:r>
          </w:p>
        </w:tc>
        <w:tc>
          <w:tcPr>
            <w:tcW w:w="31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Bình chịu áp lực có kết cấu không lắp trên các phương tiện giao thông vận tải, áp suất làm việc định mức cao hơn 0,7 bar (không kể áp suất thủy tĩnh) dùng trong công nghiệp</w:t>
            </w: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7309.00.11</w:t>
            </w:r>
          </w:p>
        </w:tc>
        <w:tc>
          <w:tcPr>
            <w:tcW w:w="248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rPr>
          <w:trHeight w:val="495"/>
        </w:trPr>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7309.00.19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7309.00.19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rPr>
          <w:trHeight w:val="495"/>
        </w:trPr>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7309.00.91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7309.00.91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rPr>
          <w:trHeight w:val="495"/>
        </w:trPr>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7309.00.99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7309.00.99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4</w:t>
            </w:r>
          </w:p>
        </w:tc>
        <w:tc>
          <w:tcPr>
            <w:tcW w:w="8600" w:type="dxa"/>
            <w:gridSpan w:val="4"/>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Các loại thùng chứa khí nén hoặc khí hóa lỏng, bằng sắt hoặc thép dạng hình trụ bằng thép đúc liền</w:t>
            </w: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4.1</w:t>
            </w:r>
          </w:p>
        </w:tc>
        <w:tc>
          <w:tcPr>
            <w:tcW w:w="242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Loại khác, có dung tích không quá 7,3 lít</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7311.00.91</w:t>
            </w:r>
          </w:p>
        </w:tc>
        <w:tc>
          <w:tcPr>
            <w:tcW w:w="31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Chai chứa LPG</w:t>
            </w:r>
          </w:p>
        </w:tc>
        <w:tc>
          <w:tcPr>
            <w:tcW w:w="14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7311.00.93</w:t>
            </w:r>
          </w:p>
        </w:tc>
        <w:tc>
          <w:tcPr>
            <w:tcW w:w="248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4.2</w:t>
            </w:r>
          </w:p>
        </w:tc>
        <w:tc>
          <w:tcPr>
            <w:tcW w:w="242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Loại khác, có dung tích trên 7,3 lít nhưng dưới 30 lít</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7311.00.92</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4.3</w:t>
            </w:r>
          </w:p>
        </w:tc>
        <w:tc>
          <w:tcPr>
            <w:tcW w:w="242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Loại khác, có dung tích từ 30 lít trở lên nhưng dưới 110 lít</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7311.00.94</w:t>
            </w:r>
          </w:p>
        </w:tc>
        <w:tc>
          <w:tcPr>
            <w:tcW w:w="31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7311.00.94</w:t>
            </w: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4.3</w:t>
            </w:r>
          </w:p>
        </w:tc>
        <w:tc>
          <w:tcPr>
            <w:tcW w:w="242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Loại khác</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7311.00.99</w:t>
            </w:r>
          </w:p>
        </w:tc>
        <w:tc>
          <w:tcPr>
            <w:tcW w:w="31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Bồn chứa LPG có kết cấu không lắp trên các phương tiện giao thông vận tải</w:t>
            </w: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7311.00.99</w:t>
            </w: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Nội dung Tiêu chuẩn/Quy chuẩn áp dụng thay đổi như sau:</w:t>
            </w:r>
          </w:p>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 Bỏ tiêu chuẩn TCVN 8615-1:2010 và TCVN 8615-</w:t>
            </w:r>
          </w:p>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2:2010.</w:t>
            </w:r>
          </w:p>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 Bổ sung TCVN 6486:2010</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5</w:t>
            </w:r>
          </w:p>
        </w:tc>
        <w:tc>
          <w:tcPr>
            <w:tcW w:w="11080" w:type="dxa"/>
            <w:gridSpan w:val="5"/>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Nồi hơi nước quá nhiệt tạo ra hơi nước hoặc tạo ra hơi nước khác</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vMerge w:val="restart"/>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5.1</w:t>
            </w:r>
          </w:p>
        </w:tc>
        <w:tc>
          <w:tcPr>
            <w:tcW w:w="242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Nồi hơi dạng ống nước với công suất hơi nước trên 45 tấn/giờ</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8402.11.10</w:t>
            </w:r>
          </w:p>
        </w:tc>
        <w:tc>
          <w:tcPr>
            <w:tcW w:w="31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Nồi hơi có kết cấu không lắp trên các phương tiện giao thông vận tải, áp suất làm việc định mức của hơi trên 0,7 bar dùng trong công nghiệp</w:t>
            </w: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8402.11.10</w:t>
            </w:r>
          </w:p>
        </w:tc>
        <w:tc>
          <w:tcPr>
            <w:tcW w:w="248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8402.11.20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8402.11.20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vMerge w:val="restart"/>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5.2</w:t>
            </w:r>
          </w:p>
        </w:tc>
        <w:tc>
          <w:tcPr>
            <w:tcW w:w="242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Nồi hơi dạng ống nước với công suất hơi nước không quá 45 tấn/giờ</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8402.12.11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8402.12.11</w:t>
            </w:r>
          </w:p>
        </w:tc>
        <w:tc>
          <w:tcPr>
            <w:tcW w:w="248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8402.12.19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8402.12.19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8402.12.21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8402.12.21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8402.12.29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8402.12.29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vMerge w:val="restart"/>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5.3</w:t>
            </w:r>
          </w:p>
        </w:tc>
        <w:tc>
          <w:tcPr>
            <w:tcW w:w="242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Nồi hơi tạo ra hơi khác, kể cả loại nồi hơi kiểu lai ghép</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8402.19.11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8402.19.11</w:t>
            </w:r>
          </w:p>
        </w:tc>
        <w:tc>
          <w:tcPr>
            <w:tcW w:w="248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8402.19.19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8402.19.19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8402.19.21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8402.19.21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8402.19.29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8402.19.29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vMerge w:val="restart"/>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lastRenderedPageBreak/>
              <w:t>5.4</w:t>
            </w:r>
          </w:p>
        </w:tc>
        <w:tc>
          <w:tcPr>
            <w:tcW w:w="242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Nồi hơi nước quá nhiệt</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8402.20.10</w:t>
            </w:r>
          </w:p>
        </w:tc>
        <w:tc>
          <w:tcPr>
            <w:tcW w:w="31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Nồi hơi nhà máy điện</w:t>
            </w: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8402.20.10</w:t>
            </w:r>
          </w:p>
        </w:tc>
        <w:tc>
          <w:tcPr>
            <w:tcW w:w="248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Nội dung Tiêu chuẩn/Quy chuẩn áp dụng: bổ sung các tiêu chuẩn TCVN 7704:2007 và TCVN 6008:2010</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8402.20.20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8402.20.20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6</w:t>
            </w:r>
          </w:p>
        </w:tc>
        <w:tc>
          <w:tcPr>
            <w:tcW w:w="242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Nồi hơi nước sưởi trung tâm trừ các loại thuộc nhóm 84.02</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8403.10.00</w:t>
            </w:r>
          </w:p>
        </w:tc>
        <w:tc>
          <w:tcPr>
            <w:tcW w:w="31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Nồi đun nước nóng có nhiệt độ môi chất trên 115</w:t>
            </w:r>
            <w:r w:rsidRPr="00935839">
              <w:rPr>
                <w:rFonts w:ascii="Arial" w:eastAsia="Times New Roman" w:hAnsi="Arial" w:cs="Arial"/>
                <w:color w:val="222222"/>
                <w:sz w:val="20"/>
                <w:szCs w:val="20"/>
                <w:vertAlign w:val="superscript"/>
              </w:rPr>
              <w:t>o</w:t>
            </w:r>
            <w:r w:rsidRPr="00935839">
              <w:rPr>
                <w:rFonts w:ascii="Arial" w:eastAsia="Times New Roman" w:hAnsi="Arial" w:cs="Arial"/>
                <w:color w:val="222222"/>
                <w:sz w:val="20"/>
                <w:szCs w:val="20"/>
              </w:rPr>
              <w:t>C dùng trong công nghiệp</w:t>
            </w: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8403.10.00</w:t>
            </w: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Nội dung Tiêu chuẩn/Quy chuẩn áp dụng: bỏ tiêu chuẩn TCVN 7704:2007</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7</w:t>
            </w:r>
          </w:p>
        </w:tc>
        <w:tc>
          <w:tcPr>
            <w:tcW w:w="242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Tời ngang; tời dọc loại chạy bằng động cơ điện</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8425.31.00</w:t>
            </w:r>
          </w:p>
        </w:tc>
        <w:tc>
          <w:tcPr>
            <w:tcW w:w="31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Tời, trục tải có tải trọng từ 10.000 N trở lên và góc nâng từ 25</w:t>
            </w:r>
            <w:r w:rsidRPr="00935839">
              <w:rPr>
                <w:rFonts w:ascii="Arial" w:eastAsia="Times New Roman" w:hAnsi="Arial" w:cs="Arial"/>
                <w:color w:val="222222"/>
                <w:sz w:val="20"/>
                <w:szCs w:val="20"/>
                <w:vertAlign w:val="superscript"/>
              </w:rPr>
              <w:t>o</w:t>
            </w:r>
            <w:r w:rsidRPr="00935839">
              <w:rPr>
                <w:rFonts w:ascii="Arial" w:eastAsia="Times New Roman" w:hAnsi="Arial" w:cs="Arial"/>
                <w:color w:val="222222"/>
                <w:sz w:val="20"/>
                <w:szCs w:val="20"/>
              </w:rPr>
              <w:t> đến 90</w:t>
            </w:r>
            <w:r w:rsidRPr="00935839">
              <w:rPr>
                <w:rFonts w:ascii="Arial" w:eastAsia="Times New Roman" w:hAnsi="Arial" w:cs="Arial"/>
                <w:color w:val="222222"/>
                <w:sz w:val="20"/>
                <w:szCs w:val="20"/>
                <w:vertAlign w:val="superscript"/>
              </w:rPr>
              <w:t>o</w:t>
            </w:r>
            <w:r w:rsidRPr="00935839">
              <w:rPr>
                <w:rFonts w:ascii="Arial" w:eastAsia="Times New Roman" w:hAnsi="Arial" w:cs="Arial"/>
                <w:color w:val="222222"/>
                <w:sz w:val="20"/>
                <w:szCs w:val="20"/>
              </w:rPr>
              <w:t> dùng trong công nghiệp</w:t>
            </w: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8425.31.00</w:t>
            </w: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Nội dung Tiêu chuẩn/Quy chuẩn áp dụng: bổ sung QCVN 02:2016/BCT</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vMerge w:val="restart"/>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8</w:t>
            </w:r>
          </w:p>
        </w:tc>
        <w:tc>
          <w:tcPr>
            <w:tcW w:w="242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Máy và thiết bị cơ khí khác</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8479.89.39</w:t>
            </w:r>
          </w:p>
        </w:tc>
        <w:tc>
          <w:tcPr>
            <w:tcW w:w="31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Trạm nạp LPG cho chai, xe bồn, xe ô tô</w:t>
            </w:r>
          </w:p>
        </w:tc>
        <w:tc>
          <w:tcPr>
            <w:tcW w:w="14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8479.89.30</w:t>
            </w:r>
          </w:p>
        </w:tc>
        <w:tc>
          <w:tcPr>
            <w:tcW w:w="248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8479.89.40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8479.89.39</w:t>
            </w:r>
          </w:p>
        </w:tc>
        <w:tc>
          <w:tcPr>
            <w:tcW w:w="31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Trạm cấp LPG</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8479.89.40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vMerge w:val="restart"/>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9</w:t>
            </w:r>
          </w:p>
        </w:tc>
        <w:tc>
          <w:tcPr>
            <w:tcW w:w="242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Động cơ điện</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8501.10.29</w:t>
            </w:r>
          </w:p>
        </w:tc>
        <w:tc>
          <w:tcPr>
            <w:tcW w:w="31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Động cơ điện phòng nổ</w:t>
            </w: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8501.10.29</w:t>
            </w:r>
          </w:p>
        </w:tc>
        <w:tc>
          <w:tcPr>
            <w:tcW w:w="248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8501.10.49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8501.10.49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8501.10.59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8501.10.59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8501.10.99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8501.10.99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8501.20.19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8501.20.19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8501.20.29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8501.20.29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8501.31.40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8501.31.40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8501.32.22</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8501.32.12</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8501.32.32</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8501.32.92</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8501.33.00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8501.33.00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8501.34.00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8501.34.00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8501.40.19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8501.40.19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8501.40.29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8501.40.29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8501.51.19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8501.51.19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8501.52.19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8501.52.19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8501.52.29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8501.52.29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8501.52.39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8501.52.39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8501.53.00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8501.53.00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vMerge w:val="restart"/>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10</w:t>
            </w:r>
          </w:p>
        </w:tc>
        <w:tc>
          <w:tcPr>
            <w:tcW w:w="242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Máy phát điện</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8502.11.00</w:t>
            </w:r>
          </w:p>
        </w:tc>
        <w:tc>
          <w:tcPr>
            <w:tcW w:w="31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Máy phát điện phòng nổ</w:t>
            </w: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8502.11.00</w:t>
            </w:r>
          </w:p>
        </w:tc>
        <w:tc>
          <w:tcPr>
            <w:tcW w:w="248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8502.12.10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8502.12.10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8502.12.20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8502.12.20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8502.13.20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8502.13.10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8502.13.90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8502.13.90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8502.20.10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8502.20.10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8502.20.20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8502.20.20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8502.20.30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8502.20.30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8502.20.42</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8502.20.41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8502.20.49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8502.20.49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8502.39.10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8502.39.10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8502.39.20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8502.39.20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8502.39.32</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8502.39.31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8502.39.39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8502.39.39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vMerge w:val="restart"/>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11</w:t>
            </w:r>
          </w:p>
        </w:tc>
        <w:tc>
          <w:tcPr>
            <w:tcW w:w="242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Máy biến áp phòng nổ</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8504.33.11</w:t>
            </w:r>
          </w:p>
        </w:tc>
        <w:tc>
          <w:tcPr>
            <w:tcW w:w="31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Máy biến áp phòng nổ</w:t>
            </w:r>
          </w:p>
        </w:tc>
        <w:tc>
          <w:tcPr>
            <w:tcW w:w="14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9817.30.10</w:t>
            </w:r>
          </w:p>
        </w:tc>
        <w:tc>
          <w:tcPr>
            <w:tcW w:w="248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8504.34.11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8504.34.14</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8504.34.22</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8504.34.25</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8504.33.19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9817.30.90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8504.34.12</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8504.34.13</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8504.34.15</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8504.34.16</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8504.34.23</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8504.34.24</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8504.34.26</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8504.34.29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12</w:t>
            </w:r>
          </w:p>
        </w:tc>
        <w:tc>
          <w:tcPr>
            <w:tcW w:w="242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Máy biến đổi tĩnh điện</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8504.40.90</w:t>
            </w:r>
          </w:p>
        </w:tc>
        <w:tc>
          <w:tcPr>
            <w:tcW w:w="31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Biến tần phòng nổ</w:t>
            </w: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8504.40.90</w:t>
            </w: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13</w:t>
            </w:r>
          </w:p>
        </w:tc>
        <w:tc>
          <w:tcPr>
            <w:tcW w:w="11080" w:type="dxa"/>
            <w:gridSpan w:val="5"/>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Thiết bị thông tin</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vMerge w:val="restart"/>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13.1</w:t>
            </w:r>
          </w:p>
        </w:tc>
        <w:tc>
          <w:tcPr>
            <w:tcW w:w="242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Bộ điện thoại, kể cả điện thoại cho mạng di động tế bào hoặc mạng không dây khác</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8517.11.00</w:t>
            </w:r>
          </w:p>
        </w:tc>
        <w:tc>
          <w:tcPr>
            <w:tcW w:w="31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Thiết bị thông tin phòng nổ (Điện thoại, Máy đàm thoại, Còi điện, chuông điện)</w:t>
            </w: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8517.11.00</w:t>
            </w:r>
          </w:p>
        </w:tc>
        <w:tc>
          <w:tcPr>
            <w:tcW w:w="248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8517.12.00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8517.12.00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8517.18.00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8517.18.00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13.2</w:t>
            </w:r>
          </w:p>
        </w:tc>
        <w:tc>
          <w:tcPr>
            <w:tcW w:w="242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Thiết bị trạm gốc</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8517.61.00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8517.61.00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13.3</w:t>
            </w:r>
          </w:p>
        </w:tc>
        <w:tc>
          <w:tcPr>
            <w:tcW w:w="242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Thiết bị mạng nội bộ không dây</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8517.62.51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8517.62.51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vMerge w:val="restart"/>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13.4</w:t>
            </w:r>
          </w:p>
        </w:tc>
        <w:tc>
          <w:tcPr>
            <w:tcW w:w="242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Thiết bị báo hiệu bằng âm thanh hoặc hình ảnh</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8531.10.20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8531.10.20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8531.10.30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8531.10.30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8531.10.90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8531.10.90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8531.80.10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8531.80.11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8531.80.19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14</w:t>
            </w:r>
          </w:p>
        </w:tc>
        <w:tc>
          <w:tcPr>
            <w:tcW w:w="11080" w:type="dxa"/>
            <w:gridSpan w:val="5"/>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Thiết bị điện để đóng ngắt mạch hay bảo vệ mạch điện</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vMerge w:val="restart"/>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14.1</w:t>
            </w:r>
          </w:p>
        </w:tc>
        <w:tc>
          <w:tcPr>
            <w:tcW w:w="242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Bộ ngắt mạch tự động, dùng cho điện áp trên 1.000 V</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8535.21.10</w:t>
            </w:r>
          </w:p>
        </w:tc>
        <w:tc>
          <w:tcPr>
            <w:tcW w:w="31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Thiết bị phân phối, đóng cắt phòng nổ (Khởi động từ, Khởi động mềm, Atomat, Máy cắt điện tự động, Rơ le dòng điện dò)</w:t>
            </w:r>
          </w:p>
        </w:tc>
        <w:tc>
          <w:tcPr>
            <w:tcW w:w="14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8535.21.10</w:t>
            </w:r>
          </w:p>
        </w:tc>
        <w:tc>
          <w:tcPr>
            <w:tcW w:w="248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8535.21.20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8535.21.90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8535.21.90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8535.29.10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8535.29.00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8535.29.90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14.2</w:t>
            </w:r>
          </w:p>
        </w:tc>
        <w:tc>
          <w:tcPr>
            <w:tcW w:w="242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Cầu dao cách ly và thiết bị đóng - ngắt điện, dùng cho điện áp từ 66 kV trở lên</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8535.30.20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8535.30.20</w:t>
            </w: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vMerge w:val="restart"/>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lastRenderedPageBreak/>
              <w:t>14.3</w:t>
            </w:r>
          </w:p>
        </w:tc>
        <w:tc>
          <w:tcPr>
            <w:tcW w:w="242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Bộ ngắt mạch tự động, dùng cho điện áp không quá 1.000 V</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8536.20.11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8536.20.11</w:t>
            </w:r>
          </w:p>
        </w:tc>
        <w:tc>
          <w:tcPr>
            <w:tcW w:w="248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8536.20.12</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8536.20.12</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8536.20.19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8536.20.19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14.4</w:t>
            </w:r>
          </w:p>
        </w:tc>
        <w:tc>
          <w:tcPr>
            <w:tcW w:w="242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Thiết bị bảo vệ mạch điện khác, dùng cho điện áp không quá 1.000 V</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8536.30.90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8536.30.90</w:t>
            </w: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vMerge w:val="restart"/>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14.5</w:t>
            </w:r>
          </w:p>
        </w:tc>
        <w:tc>
          <w:tcPr>
            <w:tcW w:w="242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Rơ le dùng cho điện áp không quá 60 V</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8536.41.10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8536.41.10</w:t>
            </w:r>
          </w:p>
        </w:tc>
        <w:tc>
          <w:tcPr>
            <w:tcW w:w="248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8536.41.20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8536.41.20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8536.41.30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8536.41.30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8536.41.40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8536.41.40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8536.41.90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8536.41.90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vMerge w:val="restart"/>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14.6</w:t>
            </w:r>
          </w:p>
        </w:tc>
        <w:tc>
          <w:tcPr>
            <w:tcW w:w="242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Rơ le loại khác</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8536.49.10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8536.49.10</w:t>
            </w:r>
          </w:p>
        </w:tc>
        <w:tc>
          <w:tcPr>
            <w:tcW w:w="248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8536.49.90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8536.49.90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15</w:t>
            </w:r>
          </w:p>
        </w:tc>
        <w:tc>
          <w:tcPr>
            <w:tcW w:w="11080" w:type="dxa"/>
            <w:gridSpan w:val="5"/>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Thiết bị điều khiển phòng nổ</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15.1</w:t>
            </w:r>
          </w:p>
        </w:tc>
        <w:tc>
          <w:tcPr>
            <w:tcW w:w="242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Thiết bị đóng ngắt mạch điện khác</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8536.50.99</w:t>
            </w:r>
          </w:p>
        </w:tc>
        <w:tc>
          <w:tcPr>
            <w:tcW w:w="31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Thiết bị điều khiển phòng nổ (Bảng điều khiển, Hộp nút nhấn)</w:t>
            </w: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8536.50.99</w:t>
            </w:r>
          </w:p>
        </w:tc>
        <w:tc>
          <w:tcPr>
            <w:tcW w:w="248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vMerge w:val="restart"/>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15.2</w:t>
            </w:r>
          </w:p>
        </w:tc>
        <w:tc>
          <w:tcPr>
            <w:tcW w:w="242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Bảng điều khiển dùng cho điện áp không quá 1.000 V</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8537.10.11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8537.10.11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8537.10.19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8537.10.19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8537.10.92</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8537.10.92</w:t>
            </w: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8537.10.99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8537.10.99</w:t>
            </w: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8537.20.21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8537.20.21</w:t>
            </w: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8537.20.29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8537.10.29</w:t>
            </w: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16</w:t>
            </w:r>
          </w:p>
        </w:tc>
        <w:tc>
          <w:tcPr>
            <w:tcW w:w="242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b/>
                <w:bCs/>
                <w:color w:val="222222"/>
                <w:sz w:val="20"/>
                <w:szCs w:val="20"/>
              </w:rPr>
              <w:t>Máy và thiết bị điện có chức năng riêng</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8543.70.90</w:t>
            </w:r>
          </w:p>
        </w:tc>
        <w:tc>
          <w:tcPr>
            <w:tcW w:w="31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Máy nổ mìn điện</w:t>
            </w: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8543.70.90</w:t>
            </w:r>
          </w:p>
        </w:tc>
        <w:tc>
          <w:tcPr>
            <w:tcW w:w="248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vMerge w:val="restart"/>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17</w:t>
            </w:r>
          </w:p>
        </w:tc>
        <w:tc>
          <w:tcPr>
            <w:tcW w:w="242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b/>
                <w:bCs/>
                <w:color w:val="222222"/>
                <w:sz w:val="20"/>
                <w:szCs w:val="20"/>
              </w:rPr>
              <w:t>Dây điện, cáp điện</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8544.20.11</w:t>
            </w:r>
          </w:p>
        </w:tc>
        <w:tc>
          <w:tcPr>
            <w:tcW w:w="31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Cáp điện phòng nổ</w:t>
            </w: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8544.20.11</w:t>
            </w:r>
          </w:p>
        </w:tc>
        <w:tc>
          <w:tcPr>
            <w:tcW w:w="248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8544.20.19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8544.20.19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8544.20.21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8544.20.21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8544.20.29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8544.20.29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8544.20.31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8544.20.31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8544.20.39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8544.20.39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8544.42.94</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8544.42.91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8544.42.95</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8544.42.96</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8544.42.97</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8544.42.92</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8544.42.98</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8544.42.99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8544.42.99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8544.49.22</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8544.49.22</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8544.49.23</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8544.49.23</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8544.49.29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8544.49.29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8544.49.41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8544.49.41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8544.49.49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8544.49.49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8544.60.11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8544.60.11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8544.60.19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8544.60.19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8544.60.21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8544.60.21</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8544.60.29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8544.60.29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720" w:type="dxa"/>
            <w:vMerge w:val="restart"/>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18</w:t>
            </w:r>
          </w:p>
        </w:tc>
        <w:tc>
          <w:tcPr>
            <w:tcW w:w="242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b/>
                <w:bCs/>
                <w:i/>
                <w:iCs/>
                <w:color w:val="222222"/>
                <w:sz w:val="20"/>
                <w:szCs w:val="20"/>
              </w:rPr>
              <w:t>Bộ đèn chùm và đèn điện trần hoặc đèn điện tường khác</w:t>
            </w: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9405.10.91</w:t>
            </w:r>
          </w:p>
        </w:tc>
        <w:tc>
          <w:tcPr>
            <w:tcW w:w="316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0"/>
                <w:szCs w:val="20"/>
              </w:rPr>
              <w:t>Đèn chiếu sáng phòng nổ</w:t>
            </w: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9405.10.30</w:t>
            </w:r>
          </w:p>
        </w:tc>
        <w:tc>
          <w:tcPr>
            <w:tcW w:w="2480" w:type="dxa"/>
            <w:vMerge w:val="restart"/>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9405.10.92</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9405.10.40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9405.10.99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9405.10.90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9405.40.20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9405.40.20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9405.40.40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9405.40.40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9405.40.60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9405.40.60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9405.40.99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9405.40.99</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r w:rsidR="00935839" w:rsidRPr="00935839" w:rsidTr="00935839">
        <w:tc>
          <w:tcPr>
            <w:tcW w:w="0" w:type="auto"/>
            <w:vMerge/>
            <w:tcBorders>
              <w:top w:val="nil"/>
              <w:left w:val="single" w:sz="8" w:space="0" w:color="auto"/>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5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9405.60.90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1460" w:type="dxa"/>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0"/>
                <w:szCs w:val="20"/>
              </w:rPr>
              <w:t>9405.60.90</w:t>
            </w:r>
          </w:p>
        </w:tc>
        <w:tc>
          <w:tcPr>
            <w:tcW w:w="0" w:type="auto"/>
            <w:vMerge/>
            <w:tcBorders>
              <w:top w:val="nil"/>
              <w:left w:val="nil"/>
              <w:bottom w:val="single" w:sz="8" w:space="0" w:color="auto"/>
              <w:right w:val="single" w:sz="8" w:space="0" w:color="auto"/>
            </w:tcBorders>
            <w:vAlign w:val="center"/>
            <w:hideMark/>
          </w:tcPr>
          <w:p w:rsidR="00935839" w:rsidRPr="00935839" w:rsidRDefault="00935839" w:rsidP="00935839">
            <w:pPr>
              <w:spacing w:after="0" w:line="240" w:lineRule="auto"/>
              <w:rPr>
                <w:rFonts w:ascii="Arial" w:eastAsia="Times New Roman" w:hAnsi="Arial" w:cs="Arial"/>
                <w:color w:val="222222"/>
                <w:sz w:val="24"/>
                <w:szCs w:val="24"/>
              </w:rPr>
            </w:pP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c>
          <w:tcPr>
            <w:tcW w:w="0" w:type="auto"/>
            <w:tcBorders>
              <w:top w:val="nil"/>
              <w:left w:val="nil"/>
              <w:bottom w:val="nil"/>
              <w:right w:val="nil"/>
            </w:tcBorders>
            <w:vAlign w:val="center"/>
            <w:hideMark/>
          </w:tcPr>
          <w:p w:rsidR="00935839" w:rsidRPr="00935839" w:rsidRDefault="00935839" w:rsidP="00935839">
            <w:pPr>
              <w:spacing w:after="0" w:line="240" w:lineRule="auto"/>
              <w:jc w:val="center"/>
              <w:rPr>
                <w:rFonts w:ascii="Arial" w:eastAsia="Times New Roman" w:hAnsi="Arial" w:cs="Arial"/>
                <w:color w:val="222222"/>
                <w:sz w:val="24"/>
                <w:szCs w:val="24"/>
              </w:rPr>
            </w:pPr>
            <w:r w:rsidRPr="00935839">
              <w:rPr>
                <w:rFonts w:ascii="Arial" w:eastAsia="Times New Roman" w:hAnsi="Arial" w:cs="Arial"/>
                <w:color w:val="222222"/>
                <w:sz w:val="24"/>
                <w:szCs w:val="24"/>
              </w:rPr>
              <w:t> </w:t>
            </w:r>
          </w:p>
        </w:tc>
      </w:tr>
    </w:tbl>
    <w:p w:rsidR="00935839" w:rsidRPr="00935839" w:rsidRDefault="00935839" w:rsidP="00935839">
      <w:pPr>
        <w:spacing w:after="100" w:afterAutospacing="1" w:line="240" w:lineRule="auto"/>
        <w:ind w:firstLine="720"/>
        <w:jc w:val="both"/>
        <w:rPr>
          <w:rFonts w:ascii="Arial" w:eastAsia="Times New Roman" w:hAnsi="Arial" w:cs="Arial"/>
          <w:sz w:val="24"/>
          <w:szCs w:val="24"/>
        </w:rPr>
      </w:pPr>
      <w:r w:rsidRPr="00935839">
        <w:rPr>
          <w:rFonts w:ascii="Arial" w:eastAsia="Times New Roman" w:hAnsi="Arial" w:cs="Arial"/>
          <w:sz w:val="24"/>
          <w:szCs w:val="24"/>
        </w:rPr>
        <w:t> </w:t>
      </w:r>
    </w:p>
    <w:p w:rsidR="00935839" w:rsidRPr="00935839" w:rsidRDefault="00935839" w:rsidP="00935839">
      <w:pPr>
        <w:spacing w:after="120" w:line="240" w:lineRule="auto"/>
        <w:ind w:firstLine="720"/>
        <w:jc w:val="both"/>
        <w:rPr>
          <w:rFonts w:ascii="Arial" w:eastAsia="Times New Roman" w:hAnsi="Arial" w:cs="Arial"/>
          <w:sz w:val="24"/>
          <w:szCs w:val="24"/>
        </w:rPr>
      </w:pPr>
      <w:r w:rsidRPr="00935839">
        <w:rPr>
          <w:rFonts w:ascii="Arial" w:eastAsia="Times New Roman" w:hAnsi="Arial" w:cs="Arial"/>
          <w:sz w:val="20"/>
          <w:szCs w:val="20"/>
        </w:rPr>
        <w:t>Các văn bản tham chiếu:</w:t>
      </w:r>
    </w:p>
    <w:p w:rsidR="00935839" w:rsidRPr="00935839" w:rsidRDefault="00935839" w:rsidP="00935839">
      <w:pPr>
        <w:spacing w:after="120" w:line="240" w:lineRule="auto"/>
        <w:ind w:firstLine="720"/>
        <w:jc w:val="both"/>
        <w:rPr>
          <w:rFonts w:ascii="Arial" w:eastAsia="Times New Roman" w:hAnsi="Arial" w:cs="Arial"/>
          <w:sz w:val="24"/>
          <w:szCs w:val="24"/>
        </w:rPr>
      </w:pPr>
      <w:r w:rsidRPr="00935839">
        <w:rPr>
          <w:rFonts w:ascii="Arial" w:eastAsia="Times New Roman" w:hAnsi="Arial" w:cs="Arial"/>
          <w:sz w:val="20"/>
          <w:szCs w:val="20"/>
          <w:vertAlign w:val="superscript"/>
        </w:rPr>
        <w:t>i </w:t>
      </w:r>
      <w:r w:rsidRPr="00935839">
        <w:rPr>
          <w:rFonts w:ascii="Arial" w:eastAsia="Times New Roman" w:hAnsi="Arial" w:cs="Arial"/>
          <w:i/>
          <w:iCs/>
          <w:sz w:val="20"/>
          <w:szCs w:val="20"/>
        </w:rPr>
        <w:t>Thông tư số 65/2017/TT-BTC ngày 27 tháng 6 năm 2017 của Bộ trưởng Bộ Tài chính Ban hành Danh mục hàng hóa xuất khẩu, nhập khẩu Việt Nam;</w:t>
      </w:r>
    </w:p>
    <w:p w:rsidR="00935839" w:rsidRPr="00935839" w:rsidRDefault="00935839" w:rsidP="00935839">
      <w:pPr>
        <w:spacing w:after="120" w:line="240" w:lineRule="auto"/>
        <w:ind w:firstLine="720"/>
        <w:jc w:val="both"/>
        <w:rPr>
          <w:rFonts w:ascii="Arial" w:eastAsia="Times New Roman" w:hAnsi="Arial" w:cs="Arial"/>
          <w:sz w:val="24"/>
          <w:szCs w:val="24"/>
        </w:rPr>
      </w:pPr>
      <w:r w:rsidRPr="00935839">
        <w:rPr>
          <w:rFonts w:ascii="Arial" w:eastAsia="Times New Roman" w:hAnsi="Arial" w:cs="Arial"/>
          <w:sz w:val="20"/>
          <w:szCs w:val="20"/>
          <w:vertAlign w:val="superscript"/>
        </w:rPr>
        <w:t>ii </w:t>
      </w:r>
      <w:r w:rsidRPr="00935839">
        <w:rPr>
          <w:rFonts w:ascii="Arial" w:eastAsia="Times New Roman" w:hAnsi="Arial" w:cs="Arial"/>
          <w:i/>
          <w:iCs/>
          <w:sz w:val="20"/>
          <w:szCs w:val="20"/>
        </w:rPr>
        <w:t>Thông tư số 29/2016/TT-BCT ngày 13 tháng 12 năm 2016 của Bộ trưởng Bộ Công Thương sửa đổi, bổ sung một số điều của Thông tư số 41/2015/TT-BCT ngày 24 tháng 11 năm 2015 của Bộ trưởng Bộ Công Thương quy định Danh mục sản phẩm, hàng hóa có khả năng gây mất an toàn thuộc trách nhiệm quản lý của Bộ Công Thương;</w:t>
      </w:r>
    </w:p>
    <w:p w:rsidR="00935839" w:rsidRPr="00935839" w:rsidRDefault="00935839" w:rsidP="00935839">
      <w:pPr>
        <w:spacing w:after="100" w:afterAutospacing="1" w:line="240" w:lineRule="auto"/>
        <w:ind w:firstLine="720"/>
        <w:jc w:val="both"/>
        <w:rPr>
          <w:rFonts w:ascii="Arial" w:eastAsia="Times New Roman" w:hAnsi="Arial" w:cs="Arial"/>
          <w:sz w:val="24"/>
          <w:szCs w:val="24"/>
        </w:rPr>
      </w:pPr>
      <w:r w:rsidRPr="00935839">
        <w:rPr>
          <w:rFonts w:ascii="Arial" w:eastAsia="Times New Roman" w:hAnsi="Arial" w:cs="Arial"/>
          <w:sz w:val="20"/>
          <w:szCs w:val="20"/>
          <w:vertAlign w:val="superscript"/>
        </w:rPr>
        <w:t>iii </w:t>
      </w:r>
      <w:r w:rsidRPr="00935839">
        <w:rPr>
          <w:rFonts w:ascii="Arial" w:eastAsia="Times New Roman" w:hAnsi="Arial" w:cs="Arial"/>
          <w:i/>
          <w:iCs/>
          <w:sz w:val="20"/>
          <w:szCs w:val="20"/>
        </w:rPr>
        <w:t>Nghị định số 39/2009/NĐ-CP ngày 23 tháng 4 năm 2009 của Chính phủ về vật liệu nổ công nghiệp;</w:t>
      </w:r>
    </w:p>
    <w:p w:rsidR="00935839" w:rsidRPr="00935839" w:rsidRDefault="00935839" w:rsidP="00935839">
      <w:pPr>
        <w:spacing w:after="100" w:afterAutospacing="1" w:line="240" w:lineRule="auto"/>
        <w:rPr>
          <w:rFonts w:ascii="Arial" w:eastAsia="Times New Roman" w:hAnsi="Arial" w:cs="Arial"/>
          <w:sz w:val="24"/>
          <w:szCs w:val="24"/>
        </w:rPr>
      </w:pPr>
      <w:r w:rsidRPr="00935839">
        <w:rPr>
          <w:rFonts w:ascii="Arial" w:eastAsia="Times New Roman" w:hAnsi="Arial" w:cs="Arial"/>
          <w:sz w:val="24"/>
          <w:szCs w:val="24"/>
        </w:rPr>
        <w:t> </w:t>
      </w:r>
    </w:p>
    <w:p w:rsidR="00D95AC1" w:rsidRPr="00935839" w:rsidRDefault="00D95AC1" w:rsidP="00935839"/>
    <w:sectPr w:rsidR="00D95AC1" w:rsidRPr="009358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B55"/>
    <w:rsid w:val="00033B55"/>
    <w:rsid w:val="00935839"/>
    <w:rsid w:val="00D95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3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muc4">
    <w:name w:val="demuc4"/>
    <w:basedOn w:val="DefaultParagraphFont"/>
    <w:rsid w:val="00033B55"/>
  </w:style>
  <w:style w:type="character" w:styleId="Strong">
    <w:name w:val="Strong"/>
    <w:basedOn w:val="DefaultParagraphFont"/>
    <w:uiPriority w:val="22"/>
    <w:qFormat/>
    <w:rsid w:val="00033B55"/>
    <w:rPr>
      <w:b/>
      <w:bCs/>
    </w:rPr>
  </w:style>
  <w:style w:type="character" w:styleId="Hyperlink">
    <w:name w:val="Hyperlink"/>
    <w:basedOn w:val="DefaultParagraphFont"/>
    <w:uiPriority w:val="99"/>
    <w:semiHidden/>
    <w:unhideWhenUsed/>
    <w:rsid w:val="00033B55"/>
    <w:rPr>
      <w:color w:val="0000FF"/>
      <w:u w:val="single"/>
    </w:rPr>
  </w:style>
  <w:style w:type="character" w:styleId="FollowedHyperlink">
    <w:name w:val="FollowedHyperlink"/>
    <w:basedOn w:val="DefaultParagraphFont"/>
    <w:uiPriority w:val="99"/>
    <w:semiHidden/>
    <w:unhideWhenUsed/>
    <w:rsid w:val="00033B55"/>
    <w:rPr>
      <w:color w:val="800080"/>
      <w:u w:val="single"/>
    </w:rPr>
  </w:style>
  <w:style w:type="character" w:styleId="Emphasis">
    <w:name w:val="Emphasis"/>
    <w:basedOn w:val="DefaultParagraphFont"/>
    <w:uiPriority w:val="20"/>
    <w:qFormat/>
    <w:rsid w:val="00033B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3B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muc4">
    <w:name w:val="demuc4"/>
    <w:basedOn w:val="DefaultParagraphFont"/>
    <w:rsid w:val="00033B55"/>
  </w:style>
  <w:style w:type="character" w:styleId="Strong">
    <w:name w:val="Strong"/>
    <w:basedOn w:val="DefaultParagraphFont"/>
    <w:uiPriority w:val="22"/>
    <w:qFormat/>
    <w:rsid w:val="00033B55"/>
    <w:rPr>
      <w:b/>
      <w:bCs/>
    </w:rPr>
  </w:style>
  <w:style w:type="character" w:styleId="Hyperlink">
    <w:name w:val="Hyperlink"/>
    <w:basedOn w:val="DefaultParagraphFont"/>
    <w:uiPriority w:val="99"/>
    <w:semiHidden/>
    <w:unhideWhenUsed/>
    <w:rsid w:val="00033B55"/>
    <w:rPr>
      <w:color w:val="0000FF"/>
      <w:u w:val="single"/>
    </w:rPr>
  </w:style>
  <w:style w:type="character" w:styleId="FollowedHyperlink">
    <w:name w:val="FollowedHyperlink"/>
    <w:basedOn w:val="DefaultParagraphFont"/>
    <w:uiPriority w:val="99"/>
    <w:semiHidden/>
    <w:unhideWhenUsed/>
    <w:rsid w:val="00033B55"/>
    <w:rPr>
      <w:color w:val="800080"/>
      <w:u w:val="single"/>
    </w:rPr>
  </w:style>
  <w:style w:type="character" w:styleId="Emphasis">
    <w:name w:val="Emphasis"/>
    <w:basedOn w:val="DefaultParagraphFont"/>
    <w:uiPriority w:val="20"/>
    <w:qFormat/>
    <w:rsid w:val="00033B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4620">
      <w:bodyDiv w:val="1"/>
      <w:marLeft w:val="0"/>
      <w:marRight w:val="0"/>
      <w:marTop w:val="0"/>
      <w:marBottom w:val="0"/>
      <w:divBdr>
        <w:top w:val="none" w:sz="0" w:space="0" w:color="auto"/>
        <w:left w:val="none" w:sz="0" w:space="0" w:color="auto"/>
        <w:bottom w:val="none" w:sz="0" w:space="0" w:color="auto"/>
        <w:right w:val="none" w:sz="0" w:space="0" w:color="auto"/>
      </w:divBdr>
    </w:div>
    <w:div w:id="50876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ViTEST.COM.VN</dc:creator>
  <cp:lastModifiedBy>ViTEST.COM.VN</cp:lastModifiedBy>
  <cp:revision>1</cp:revision>
  <dcterms:created xsi:type="dcterms:W3CDTF">2020-04-08T03:47:00Z</dcterms:created>
  <dcterms:modified xsi:type="dcterms:W3CDTF">2020-04-08T04:02:00Z</dcterms:modified>
</cp:coreProperties>
</file>